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BDF0" w14:textId="77777777" w:rsidR="00DF0F93" w:rsidRPr="00DF0F93" w:rsidRDefault="00DF0F93" w:rsidP="00DF0F93">
      <w:pPr>
        <w:shd w:val="clear" w:color="auto" w:fill="FFFFFF"/>
        <w:spacing w:line="270" w:lineRule="atLeast"/>
        <w:jc w:val="righ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тээврийн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хөгжлийн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сайдын</w:t>
      </w:r>
      <w:proofErr w:type="spellEnd"/>
    </w:p>
    <w:p w14:paraId="3CAA63A0" w14:textId="77777777" w:rsidR="00DF0F93" w:rsidRPr="00DF0F93" w:rsidRDefault="00DF0F93" w:rsidP="00DF0F93">
      <w:pPr>
        <w:shd w:val="clear" w:color="auto" w:fill="FFFFFF"/>
        <w:spacing w:line="270" w:lineRule="atLeast"/>
        <w:jc w:val="righ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2021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06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дугаар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сарын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30-ны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өдрийн</w:t>
      </w:r>
      <w:proofErr w:type="spellEnd"/>
    </w:p>
    <w:p w14:paraId="6FBCB6E1" w14:textId="77777777" w:rsidR="00DF0F93" w:rsidRPr="00DF0F93" w:rsidRDefault="00DF0F93" w:rsidP="00DF0F93">
      <w:pPr>
        <w:shd w:val="clear" w:color="auto" w:fill="FFFFFF"/>
        <w:spacing w:line="270" w:lineRule="atLeast"/>
        <w:ind w:left="4962"/>
        <w:jc w:val="righ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А/101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тоот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тушаалын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хавсралт</w:t>
      </w:r>
      <w:proofErr w:type="spellEnd"/>
    </w:p>
    <w:p w14:paraId="35C0DA10" w14:textId="77777777" w:rsidR="00DF0F93" w:rsidRPr="00DF0F93" w:rsidRDefault="00DF0F93" w:rsidP="00DF0F93">
      <w:pPr>
        <w:shd w:val="clear" w:color="auto" w:fill="FFFFFF"/>
        <w:spacing w:after="150" w:line="270" w:lineRule="atLeast"/>
        <w:ind w:left="4962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427A6942" w14:textId="77777777" w:rsidR="00DF0F93" w:rsidRPr="00DF0F93" w:rsidRDefault="00DF0F93" w:rsidP="00DF0F93">
      <w:pPr>
        <w:shd w:val="clear" w:color="auto" w:fill="FFFFFF"/>
        <w:spacing w:line="270" w:lineRule="atLeast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АВТО </w:t>
      </w:r>
      <w:proofErr w:type="gramStart"/>
      <w:r w:rsidRPr="00DF0F93">
        <w:rPr>
          <w:rFonts w:ascii="Arial" w:eastAsia="Times New Roman" w:hAnsi="Arial" w:cs="Arial"/>
          <w:b/>
          <w:bCs/>
          <w:color w:val="333333"/>
          <w:sz w:val="18"/>
          <w:szCs w:val="18"/>
        </w:rPr>
        <w:t>ЗАМ,  ЗАМЫН</w:t>
      </w:r>
      <w:proofErr w:type="gramEnd"/>
      <w:r w:rsidRPr="00DF0F9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 БАЙГУУЛАМЖИЙН ТЕХНИК-ЭДИЙН ЗАСГИЙН ҮНДЭСЛЭЛ,</w:t>
      </w:r>
    </w:p>
    <w:p w14:paraId="6D24F3D2" w14:textId="77777777" w:rsidR="00DF0F93" w:rsidRPr="00DF0F93" w:rsidRDefault="00DF0F93" w:rsidP="00DF0F93">
      <w:pPr>
        <w:shd w:val="clear" w:color="auto" w:fill="FFFFFF"/>
        <w:spacing w:line="270" w:lineRule="atLeast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ЗУРАГ ТӨСӨЛ </w:t>
      </w:r>
      <w:proofErr w:type="gramStart"/>
      <w:r w:rsidRPr="00DF0F93">
        <w:rPr>
          <w:rFonts w:ascii="Arial" w:eastAsia="Times New Roman" w:hAnsi="Arial" w:cs="Arial"/>
          <w:b/>
          <w:bCs/>
          <w:color w:val="333333"/>
          <w:sz w:val="18"/>
          <w:szCs w:val="18"/>
        </w:rPr>
        <w:t>БОЛОВСРУУЛАХ,  БАРИХ</w:t>
      </w:r>
      <w:proofErr w:type="gramEnd"/>
      <w:r w:rsidRPr="00DF0F93">
        <w:rPr>
          <w:rFonts w:ascii="Arial" w:eastAsia="Times New Roman" w:hAnsi="Arial" w:cs="Arial"/>
          <w:b/>
          <w:bCs/>
          <w:color w:val="333333"/>
          <w:sz w:val="18"/>
          <w:szCs w:val="18"/>
        </w:rPr>
        <w:t>, АРЧЛАХ,  ЗАСВАРЛАХ, ТЕХНИК, ТЕХНОЛОГИЙН ХЯНАЛТ ТАВИХ ЗӨВЛӨХ</w:t>
      </w:r>
    </w:p>
    <w:p w14:paraId="3DAAC03E" w14:textId="77777777" w:rsidR="00DF0F93" w:rsidRPr="00DF0F93" w:rsidRDefault="00DF0F93" w:rsidP="00DF0F93">
      <w:pPr>
        <w:shd w:val="clear" w:color="auto" w:fill="FFFFFF"/>
        <w:spacing w:line="270" w:lineRule="atLeast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b/>
          <w:bCs/>
          <w:color w:val="333333"/>
          <w:sz w:val="18"/>
          <w:szCs w:val="18"/>
        </w:rPr>
        <w:t>ҮЙЛЧИЛГЭЭ ҮЗҮҮЛЭХ АЖЛЫН ТУСГАЙ ЗӨВШӨӨРӨЛ ОЛГОХ ЖУРАМ</w:t>
      </w:r>
    </w:p>
    <w:p w14:paraId="5A9DD53A" w14:textId="77777777" w:rsidR="00DF0F93" w:rsidRPr="00DF0F93" w:rsidRDefault="00DF0F93" w:rsidP="00DF0F93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7409EF94" w14:textId="77777777" w:rsidR="00DF0F93" w:rsidRPr="00DF0F93" w:rsidRDefault="00DF0F93" w:rsidP="00DF0F93">
      <w:pPr>
        <w:shd w:val="clear" w:color="auto" w:fill="FFFFFF"/>
        <w:ind w:left="300" w:right="300"/>
        <w:textAlignment w:val="top"/>
        <w:outlineLvl w:val="0"/>
        <w:rPr>
          <w:rFonts w:ascii="Arial" w:eastAsia="Times New Roman" w:hAnsi="Arial" w:cs="Arial"/>
          <w:color w:val="333333"/>
          <w:kern w:val="36"/>
          <w:sz w:val="29"/>
          <w:szCs w:val="29"/>
        </w:rPr>
      </w:pPr>
      <w:proofErr w:type="spellStart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Нэг.Нийтлэг</w:t>
      </w:r>
      <w:proofErr w:type="spellEnd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үндэслэл</w:t>
      </w:r>
      <w:proofErr w:type="spellEnd"/>
    </w:p>
    <w:p w14:paraId="3C38F4FB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1.1.        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байгууламжийн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техник-эдийн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үндэслэл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арчлах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технологийн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хяналт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тавих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зөвлөх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үйлчилгээ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үзүүлэх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/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цаашид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“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”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/-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шинээр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түдгэлзүүлэх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хүчингүй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хяналт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тавих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харилцааг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энэхүү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журмаар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зохицуулна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701B1088" w14:textId="289AE6F7" w:rsidR="00DF0F93" w:rsidRPr="00DF0F93" w:rsidRDefault="00DF0F93" w:rsidP="00DF0F93">
      <w:pPr>
        <w:shd w:val="clear" w:color="auto" w:fill="FFFFFF"/>
        <w:spacing w:after="150" w:line="270" w:lineRule="atLeast"/>
        <w:ind w:left="708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</w:p>
    <w:p w14:paraId="595618F5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1.2.        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энэхүү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журмаар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зохицуулна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57084A0A" w14:textId="77777777" w:rsidR="00DF0F93" w:rsidRPr="00DF0F93" w:rsidRDefault="00DF0F93" w:rsidP="00DF0F93">
      <w:pPr>
        <w:shd w:val="clear" w:color="auto" w:fill="FFFFFF"/>
        <w:spacing w:after="150" w:line="270" w:lineRule="atLeast"/>
        <w:ind w:left="709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740D5612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1.3.        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шинээр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түдгэлзүүлэх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хүчингүй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асуудлыг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асуудал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эрхэлсэн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захиргааны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төв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шийдвэрлэж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тогтоомжийн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дагуу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хяналт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тавина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3EABD4B8" w14:textId="77777777" w:rsidR="00DF0F93" w:rsidRPr="00DF0F93" w:rsidRDefault="00DF0F93" w:rsidP="00DF0F93">
      <w:pPr>
        <w:shd w:val="clear" w:color="auto" w:fill="FFFFFF"/>
        <w:spacing w:after="150" w:line="270" w:lineRule="atLeast"/>
        <w:ind w:left="709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610C6B23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1.4.        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шинээр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бүртгэх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цахим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системээр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дамжуулан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хэрэгжүүлнэ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 </w:t>
      </w:r>
    </w:p>
    <w:p w14:paraId="347704D1" w14:textId="77777777" w:rsidR="00DF0F93" w:rsidRPr="00DF0F93" w:rsidRDefault="00DF0F93" w:rsidP="00DF0F93">
      <w:pPr>
        <w:shd w:val="clear" w:color="auto" w:fill="FFFFFF"/>
        <w:spacing w:after="150" w:line="270" w:lineRule="atLeast"/>
        <w:ind w:left="709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55009D5E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1.5.        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шинээр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түдгэлзүүлэх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хүчингүй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болгохтой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холбогдсон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нийтэд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нээлттэй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13A1F804" w14:textId="77777777" w:rsidR="00DF0F93" w:rsidRPr="00DF0F93" w:rsidRDefault="00DF0F93" w:rsidP="00DF0F93">
      <w:pPr>
        <w:shd w:val="clear" w:color="auto" w:fill="FFFFFF"/>
        <w:spacing w:after="150" w:line="270" w:lineRule="atLeast"/>
        <w:ind w:left="709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47B47543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1.6.        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бүхий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шийдвэрээр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бүхий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этгээд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33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дугаар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зүйлд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дагуу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эрхэлнэ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710373F0" w14:textId="77777777" w:rsidR="00DF0F93" w:rsidRPr="00DF0F93" w:rsidRDefault="00DF0F93" w:rsidP="00DF0F93">
      <w:pPr>
        <w:shd w:val="clear" w:color="auto" w:fill="FFFFFF"/>
        <w:spacing w:after="150" w:line="270" w:lineRule="atLeast"/>
        <w:ind w:left="72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2C83ADE8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1.7.        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нэгжээс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хүлээн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дүгнэлт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бүртгэл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эрхлэх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хөтлөх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гэрээний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мэргэжлийн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шилжүүлэн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гүйцэтгүүлж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52B37087" w14:textId="77777777" w:rsidR="00DF0F93" w:rsidRPr="00DF0F93" w:rsidRDefault="00DF0F93" w:rsidP="00DF0F93">
      <w:pPr>
        <w:shd w:val="clear" w:color="auto" w:fill="FFFFFF"/>
        <w:spacing w:after="150" w:line="270" w:lineRule="atLeast"/>
        <w:ind w:left="36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48F0BD50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Хоёр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. 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авах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нэгжид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тавигдах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ерөнхий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шаардлага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төрөл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ангилал</w:t>
      </w:r>
      <w:proofErr w:type="spellEnd"/>
    </w:p>
    <w:p w14:paraId="569B90D6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2.1.    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Монгол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Улсад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бүртгэлтэй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этгээд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2910355D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2.2.    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эрхлэх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төрлөөс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хамаарч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журмын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хавсралтад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ажилтан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холбогдох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мэргэжилтэй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ажилтантай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6DDBFF88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2.3.     2.2-т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ажилтанууд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ажилтан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2BE700F0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2.4.    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гадаадын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хөрөнгө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оруулалттай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ажилчдын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70-аас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доошгүй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хувь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дотоодын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ажиллагсад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581BCCD4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2.5.     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Машин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механизм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тоног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төхөөрөмж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ангилалд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тохирох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гүйцэтгэхэд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технологийн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бүрдэл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хэмжээ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ашиглалтын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хангасан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3D8DD275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2.6.      2.5-д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машин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механизм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тоног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төхөөрөмж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хөрөнгөнд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бүртгэлтэй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өөрийн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өмчлөлийн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машин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механизм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тоног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төхөөрөмжтэй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  </w:t>
      </w:r>
    </w:p>
    <w:p w14:paraId="04CFAC7F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2.7.     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салбарт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явуулахад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мөрдөх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Үндэсний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стандарт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норм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норматив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бусад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баримт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бичгийн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бүрдэлтэй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2E193D62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ангилал</w:t>
      </w:r>
      <w:proofErr w:type="spellEnd"/>
    </w:p>
    <w:p w14:paraId="1954A9C0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2.8.1.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Техник-эдийн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үндэслэл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байгууламжийн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14:paraId="6000F9B9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2.8.1.1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Техник-эдийн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үндэслэл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</w:p>
    <w:p w14:paraId="20791948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2.8.1.2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Төв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60CBA849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2.8.1.3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Хуримтлуулагч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</w:p>
    <w:p w14:paraId="0003DD27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2.8.1.4.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Хотын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байгууламжийн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</w:p>
    <w:p w14:paraId="2F47D279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2.8.1.5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Хөдөө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орон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нутгийн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</w:p>
    <w:p w14:paraId="7162335D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2.8.1.6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Нисэх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буудлын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хөөрч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буух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зурвасын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</w:p>
    <w:p w14:paraId="5F59626B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2.8.1.7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Гүүр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туннелийн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боловсруулах</w:t>
      </w:r>
      <w:proofErr w:type="spellEnd"/>
    </w:p>
    <w:p w14:paraId="03218D33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proofErr w:type="gram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байгууламжийг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арчлах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14:paraId="39328757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Хатуу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хучилттай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барих</w:t>
      </w:r>
      <w:proofErr w:type="spellEnd"/>
    </w:p>
    <w:p w14:paraId="627ED5B8" w14:textId="77777777" w:rsidR="00DF0F93" w:rsidRPr="00DF0F93" w:rsidRDefault="00DF0F93" w:rsidP="00DF0F93">
      <w:pPr>
        <w:shd w:val="clear" w:color="auto" w:fill="FFFFFF"/>
        <w:spacing w:line="270" w:lineRule="atLeast"/>
        <w:ind w:left="63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/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Цементбетон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асфальтбетон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хөнгөвчилсөн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хучилт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тэдгээрийн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их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засварын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ажил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6 у/м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хүртэлх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гүүр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ус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зайлуулах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байгууламжууд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/</w:t>
      </w:r>
    </w:p>
    <w:p w14:paraId="36D9DEC4" w14:textId="77777777" w:rsidR="00DF0F93" w:rsidRPr="00DF0F93" w:rsidRDefault="00DF0F93" w:rsidP="00DF0F93">
      <w:pPr>
        <w:shd w:val="clear" w:color="auto" w:fill="FFFFFF"/>
        <w:spacing w:line="270" w:lineRule="atLeast"/>
        <w:ind w:left="72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2.8.2.1.1  5</w:t>
      </w:r>
      <w:proofErr w:type="gram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км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хүртэл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хатуу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хучилттай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барих</w:t>
      </w:r>
      <w:proofErr w:type="spellEnd"/>
    </w:p>
    <w:p w14:paraId="5F43E6C2" w14:textId="77777777" w:rsidR="00DF0F93" w:rsidRPr="00DF0F93" w:rsidRDefault="00DF0F93" w:rsidP="00DF0F93">
      <w:pPr>
        <w:shd w:val="clear" w:color="auto" w:fill="FFFFFF"/>
        <w:spacing w:line="270" w:lineRule="atLeast"/>
        <w:ind w:left="72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2.8.2.1.2 15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км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хүртэл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хатуу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хучилттай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барих</w:t>
      </w:r>
      <w:proofErr w:type="spellEnd"/>
    </w:p>
    <w:p w14:paraId="4AF88D59" w14:textId="77777777" w:rsidR="00DF0F93" w:rsidRPr="00DF0F93" w:rsidRDefault="00DF0F93" w:rsidP="00DF0F93">
      <w:pPr>
        <w:shd w:val="clear" w:color="auto" w:fill="FFFFFF"/>
        <w:spacing w:line="270" w:lineRule="atLeast"/>
        <w:ind w:left="72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2.8.2.1.3 15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км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түүнээс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дээш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хатуу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хучилттай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барих</w:t>
      </w:r>
      <w:proofErr w:type="spellEnd"/>
    </w:p>
    <w:p w14:paraId="3C536640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2.8.2.2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Хайрган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хучилттай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барих</w:t>
      </w:r>
      <w:proofErr w:type="spellEnd"/>
    </w:p>
    <w:p w14:paraId="668673B3" w14:textId="77777777" w:rsidR="00DF0F93" w:rsidRPr="00DF0F93" w:rsidRDefault="00DF0F93" w:rsidP="00DF0F93">
      <w:pPr>
        <w:shd w:val="clear" w:color="auto" w:fill="FFFFFF"/>
        <w:spacing w:line="270" w:lineRule="atLeast"/>
        <w:ind w:left="72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/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Хайрга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дайрган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сайжруулсан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шороон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хатуу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хучилттай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далан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суурийн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ажил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/</w:t>
      </w:r>
    </w:p>
    <w:p w14:paraId="4F117AAF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2.8.2.3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гүүр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тунель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үерийн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хамгаалалтын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далан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барих</w:t>
      </w:r>
      <w:proofErr w:type="spellEnd"/>
    </w:p>
    <w:p w14:paraId="6C9C718D" w14:textId="77777777" w:rsidR="00DF0F93" w:rsidRPr="00DF0F93" w:rsidRDefault="00DF0F93" w:rsidP="00DF0F93">
      <w:pPr>
        <w:shd w:val="clear" w:color="auto" w:fill="FFFFFF"/>
        <w:spacing w:line="270" w:lineRule="atLeast"/>
        <w:ind w:left="72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/6 у/м-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ээс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урт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бүх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төрлийн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гүүр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ус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зайлуулах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хиймэл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байгууламжууд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түүний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их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засварын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ажил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/</w:t>
      </w:r>
    </w:p>
    <w:p w14:paraId="48BD103B" w14:textId="77777777" w:rsidR="00DF0F93" w:rsidRPr="00DF0F93" w:rsidRDefault="00DF0F93" w:rsidP="00DF0F93">
      <w:pPr>
        <w:shd w:val="clear" w:color="auto" w:fill="FFFFFF"/>
        <w:spacing w:line="270" w:lineRule="atLeast"/>
        <w:ind w:left="72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2.8.2.4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байгууламжийн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барилга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материал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хийцийн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үйлдвэрлэл</w:t>
      </w:r>
      <w:proofErr w:type="spellEnd"/>
    </w:p>
    <w:p w14:paraId="18247164" w14:textId="77777777" w:rsidR="00DF0F93" w:rsidRPr="00DF0F93" w:rsidRDefault="00DF0F93" w:rsidP="00DF0F93">
      <w:pPr>
        <w:shd w:val="clear" w:color="auto" w:fill="FFFFFF"/>
        <w:spacing w:line="270" w:lineRule="atLeast"/>
        <w:ind w:left="72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2.8.2.5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,  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гүүр</w:t>
      </w:r>
      <w:proofErr w:type="spellEnd"/>
      <w:proofErr w:type="gram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туннель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газар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доогуур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нүхэн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арчлалт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урсгал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ээлжит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</w:t>
      </w:r>
      <w:proofErr w:type="spellEnd"/>
    </w:p>
    <w:p w14:paraId="491EC785" w14:textId="77777777" w:rsidR="00DF0F93" w:rsidRPr="00DF0F93" w:rsidRDefault="00DF0F93" w:rsidP="00DF0F93">
      <w:pPr>
        <w:shd w:val="clear" w:color="auto" w:fill="FFFFFF"/>
        <w:spacing w:line="270" w:lineRule="atLeast"/>
        <w:ind w:left="144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2.8.2.5.1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арчлалт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урсгал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ээлжит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</w:t>
      </w:r>
      <w:proofErr w:type="spellEnd"/>
    </w:p>
    <w:p w14:paraId="3CD90A04" w14:textId="77777777" w:rsidR="00DF0F93" w:rsidRPr="00DF0F93" w:rsidRDefault="00DF0F93" w:rsidP="00DF0F93">
      <w:pPr>
        <w:shd w:val="clear" w:color="auto" w:fill="FFFFFF"/>
        <w:spacing w:line="270" w:lineRule="atLeast"/>
        <w:ind w:left="144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2.8.2.5.2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гүүр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туннель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газар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доогуур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нүхэн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арчлалт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урсгал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ээлжит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</w:t>
      </w:r>
      <w:proofErr w:type="spellEnd"/>
    </w:p>
    <w:p w14:paraId="6D6206FA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2.8.2.6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машины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зогсоол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талбайн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тохижилтын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хийх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засварлах</w:t>
      </w:r>
      <w:proofErr w:type="spellEnd"/>
    </w:p>
    <w:p w14:paraId="64B2A89E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/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Талбай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зогсоол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явган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proofErr w:type="gram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хүний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 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зам</w:t>
      </w:r>
      <w:proofErr w:type="spellEnd"/>
      <w:proofErr w:type="gram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дугуйн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зам</w:t>
      </w:r>
      <w:proofErr w:type="spellEnd"/>
      <w:r w:rsidRPr="00DF0F93">
        <w:rPr>
          <w:rFonts w:ascii="Arial" w:eastAsia="Times New Roman" w:hAnsi="Arial" w:cs="Arial"/>
          <w:i/>
          <w:iCs/>
          <w:color w:val="333333"/>
          <w:sz w:val="18"/>
          <w:szCs w:val="18"/>
        </w:rPr>
        <w:t>/</w:t>
      </w:r>
    </w:p>
    <w:p w14:paraId="34FBA2B8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2.8.2.7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тоноглол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тэмдэг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тэмдэглэгээний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</w:t>
      </w:r>
      <w:proofErr w:type="spellEnd"/>
    </w:p>
    <w:p w14:paraId="349E4735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2.8.3  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технологийн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хяналт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тавих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зөвлөх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үйлчилгээ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үзүүлэх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14:paraId="371E9857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2.8.3.1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технологийн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хяналт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тавих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зөвлөх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үйлчилгээ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үзүүлэх</w:t>
      </w:r>
      <w:proofErr w:type="spellEnd"/>
    </w:p>
    <w:p w14:paraId="2BC72483" w14:textId="77777777" w:rsidR="00DF0F93" w:rsidRPr="00DF0F93" w:rsidRDefault="00DF0F93" w:rsidP="00DF0F93">
      <w:pPr>
        <w:shd w:val="clear" w:color="auto" w:fill="FFFFFF"/>
        <w:spacing w:before="75" w:after="75"/>
        <w:ind w:left="300" w:right="300"/>
        <w:textAlignment w:val="top"/>
        <w:outlineLvl w:val="0"/>
        <w:rPr>
          <w:rFonts w:ascii="Arial" w:eastAsia="Times New Roman" w:hAnsi="Arial" w:cs="Arial"/>
          <w:color w:val="333333"/>
          <w:kern w:val="36"/>
          <w:sz w:val="29"/>
          <w:szCs w:val="29"/>
        </w:rPr>
      </w:pPr>
      <w:r w:rsidRPr="00DF0F93">
        <w:rPr>
          <w:rFonts w:ascii="Arial" w:eastAsia="Times New Roman" w:hAnsi="Arial" w:cs="Arial"/>
          <w:color w:val="333333"/>
          <w:kern w:val="36"/>
          <w:sz w:val="29"/>
          <w:szCs w:val="29"/>
        </w:rPr>
        <w:t> </w:t>
      </w:r>
    </w:p>
    <w:p w14:paraId="11D08671" w14:textId="77777777" w:rsidR="00DF0F93" w:rsidRPr="00DF0F93" w:rsidRDefault="00DF0F93" w:rsidP="00DF0F93">
      <w:pPr>
        <w:shd w:val="clear" w:color="auto" w:fill="FFFFFF"/>
        <w:ind w:left="300" w:right="300"/>
        <w:textAlignment w:val="top"/>
        <w:outlineLvl w:val="0"/>
        <w:rPr>
          <w:rFonts w:ascii="Arial" w:eastAsia="Times New Roman" w:hAnsi="Arial" w:cs="Arial"/>
          <w:color w:val="333333"/>
          <w:kern w:val="36"/>
          <w:sz w:val="29"/>
          <w:szCs w:val="29"/>
        </w:rPr>
      </w:pPr>
      <w:proofErr w:type="spellStart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Гурав</w:t>
      </w:r>
      <w:proofErr w:type="spellEnd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 xml:space="preserve">. </w:t>
      </w:r>
      <w:proofErr w:type="spellStart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шинээр</w:t>
      </w:r>
      <w:proofErr w:type="spellEnd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</w:rPr>
        <w:t>олгох</w:t>
      </w:r>
      <w:proofErr w:type="spellEnd"/>
    </w:p>
    <w:p w14:paraId="07C25028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3.1.     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авахыг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“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”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зүйлийн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11.1.1, 11.1.2, 11.1.5-т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баримт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бичгийг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бүрдүүлж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цахим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системээр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дамжуулан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4489BD5D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3.2.      “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”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зүйлийн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11.1.5-т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бичиг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баримт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дараах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бүрдэлтэй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7332606A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3.2.1.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ажилтны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мэдээлэл</w:t>
      </w:r>
      <w:proofErr w:type="spellEnd"/>
    </w:p>
    <w:p w14:paraId="6EA9B538" w14:textId="77777777" w:rsidR="00DF0F93" w:rsidRPr="00DF0F93" w:rsidRDefault="00DF0F93" w:rsidP="00DF0F93">
      <w:pPr>
        <w:shd w:val="clear" w:color="auto" w:fill="FFFFFF"/>
        <w:spacing w:line="270" w:lineRule="atLeast"/>
        <w:ind w:left="144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3.2.1.1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Мэргэжлийн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диплом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итгэмжлэл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мэргэшсэн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зөвлөх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мэргэшлийн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зэргийн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гэрчилгээний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 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хуулбар</w:t>
      </w:r>
      <w:proofErr w:type="spellEnd"/>
      <w:proofErr w:type="gramEnd"/>
    </w:p>
    <w:p w14:paraId="7F9A2924" w14:textId="77777777" w:rsidR="00DF0F93" w:rsidRPr="00DF0F93" w:rsidRDefault="00DF0F93" w:rsidP="00DF0F93">
      <w:pPr>
        <w:shd w:val="clear" w:color="auto" w:fill="FFFFFF"/>
        <w:spacing w:line="270" w:lineRule="atLeast"/>
        <w:ind w:left="144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3.2.1.2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Баталгаажсан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нийгмийн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даатгалын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тайланг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НД-7, НД-8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маягтын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дагуу</w:t>
      </w:r>
      <w:proofErr w:type="spellEnd"/>
    </w:p>
    <w:p w14:paraId="58293766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3.2.2.  </w:t>
      </w:r>
      <w:proofErr w:type="spellStart"/>
      <w:proofErr w:type="gram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Мэргэжилтэй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ажилчдын</w:t>
      </w:r>
      <w:proofErr w:type="spellEnd"/>
      <w:proofErr w:type="gram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мэдээлэл</w:t>
      </w:r>
      <w:proofErr w:type="spellEnd"/>
    </w:p>
    <w:p w14:paraId="403F1E7E" w14:textId="77777777" w:rsidR="00DF0F93" w:rsidRPr="00DF0F93" w:rsidRDefault="00DF0F93" w:rsidP="00DF0F93">
      <w:pPr>
        <w:shd w:val="clear" w:color="auto" w:fill="FFFFFF"/>
        <w:spacing w:line="270" w:lineRule="atLeast"/>
        <w:ind w:left="72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3.2.2.1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Мэргэжлийн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зэргийн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гэрчилгээ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,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чадамжийн</w:t>
      </w:r>
      <w:proofErr w:type="spellEnd"/>
      <w:proofErr w:type="gram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гэрчилгээний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хуулбар</w:t>
      </w:r>
      <w:proofErr w:type="spellEnd"/>
    </w:p>
    <w:p w14:paraId="5081AAD4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3.2.3.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Машин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механизм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тоног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төхөөрөмжийн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жагсаалтын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мэдээлэл</w:t>
      </w:r>
      <w:proofErr w:type="spellEnd"/>
    </w:p>
    <w:p w14:paraId="198365CD" w14:textId="77777777" w:rsidR="00DF0F93" w:rsidRPr="00DF0F93" w:rsidRDefault="00DF0F93" w:rsidP="00DF0F93">
      <w:pPr>
        <w:shd w:val="clear" w:color="auto" w:fill="FFFFFF"/>
        <w:spacing w:line="270" w:lineRule="atLeast"/>
        <w:ind w:left="708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3.2.3.1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Тээврийн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хэрэгслийн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гэрчилгээ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паспортын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хуулбар</w:t>
      </w:r>
      <w:proofErr w:type="spellEnd"/>
    </w:p>
    <w:p w14:paraId="60E53AB1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3.2.4  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хөрөнгийн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санхүүгийн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тайлан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/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аудит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хийгдсэн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/</w:t>
      </w:r>
    </w:p>
    <w:p w14:paraId="5509949B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3.3      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Дүгнэлт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явцад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шаардлагатай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бусад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баримт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бичгийг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6B96E542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3.4     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Шаардлагатай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тохиолдолд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инженер-техникийн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ажилтан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тоног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төхөөрөмж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багаж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хэрэгсэл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хангамжтай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газар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танилцаж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ирүүлсэн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материалыг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хянан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үзэж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дүгнэлт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16E604D9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3.5     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авахыг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байгууллагаас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хангасан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баримт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бичгийг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хүлээн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өдрөөс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хойш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“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”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12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дугаар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зүйлд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дагуу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21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хоногийн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дотор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шийдвэрлэнэ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1154B3A7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3.6     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Энэхүү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журмын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нэгдүгээр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хавсралтад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нөхцөл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хангасан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этгээдэд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3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жилийн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хугацаагаар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797CD7B2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3.7     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зөрчин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чанаргүй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хийсэн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үүргээ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биелүүлээгүй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бүхий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дүгнэлтээр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тогтоодсон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эзэмшигч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захирал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ерөнхий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оролцсон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шинээр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олгохоос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татгалзана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456BB330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3.8     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Цахим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санд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бүртгүүлсэн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засвартай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зөрүүтэй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хангаагүй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нөхцөлд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буцаах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бүрдэх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хүртэл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баталгаажихгүй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4FC60517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Дөрөв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.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хугацаа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сунгах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ангилал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өөрчлөх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нөхөн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түдгэлзүүлэх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хүчингүй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болгох</w:t>
      </w:r>
      <w:proofErr w:type="spellEnd"/>
    </w:p>
    <w:p w14:paraId="7ABE1639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4.1     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эзэмшигч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сунгуулах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хүчинтэй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дуусахаас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30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хоногийн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өмнө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цахим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системээр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дамжуулан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696784DC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4.2     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Хүсэлтэд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дараах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материалуудыг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хавсаргана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4360EB60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4.2.1  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Албан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</w:t>
      </w:r>
      <w:proofErr w:type="spellEnd"/>
    </w:p>
    <w:p w14:paraId="78329A96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4.2.2  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ажилтны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мэдээлэл</w:t>
      </w:r>
      <w:proofErr w:type="spellEnd"/>
    </w:p>
    <w:p w14:paraId="48616F18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 4.2.3  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Мэргэжилтэй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ажилчдын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мэдээлэл</w:t>
      </w:r>
      <w:proofErr w:type="spellEnd"/>
    </w:p>
    <w:p w14:paraId="5CEFB645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4.2.4  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Машин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механизм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тоног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төхөөрөмжийн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жагсаалтын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мэдээлэл</w:t>
      </w:r>
      <w:proofErr w:type="spellEnd"/>
    </w:p>
    <w:p w14:paraId="73306B00" w14:textId="77777777" w:rsidR="00DF0F93" w:rsidRPr="00DF0F93" w:rsidRDefault="00DF0F93" w:rsidP="00DF0F93">
      <w:pPr>
        <w:shd w:val="clear" w:color="auto" w:fill="FFFFFF"/>
        <w:spacing w:line="270" w:lineRule="atLeast"/>
        <w:ind w:left="708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4.2.5  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 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хийсэн</w:t>
      </w:r>
      <w:proofErr w:type="spellEnd"/>
      <w:proofErr w:type="gram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гүйцэтгэх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акт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бусад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нотлох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баримтын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хуулбарын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хамт</w:t>
      </w:r>
      <w:proofErr w:type="spellEnd"/>
    </w:p>
    <w:p w14:paraId="2385DB75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4.2.6  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хөрөнгийн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санхүүгийн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тайлан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/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аудит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хийгдсэн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/</w:t>
      </w:r>
    </w:p>
    <w:p w14:paraId="6140E61A" w14:textId="77777777" w:rsidR="00DF0F93" w:rsidRPr="00DF0F93" w:rsidRDefault="00DF0F93" w:rsidP="00DF0F93">
      <w:pPr>
        <w:shd w:val="clear" w:color="auto" w:fill="FFFFFF"/>
        <w:spacing w:line="270" w:lineRule="atLeast"/>
        <w:ind w:left="708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4.3      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хийгээгүй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сунгахаас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татгалзана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11C8620B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4.4      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сунгуулахаар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6.4-т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дагуу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нөхцөл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зөрчсөн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энэхүү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журмын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6.2-т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нөхцал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байдал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үүссэн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тохиолдолд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сунгахаас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татгалзана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   </w:t>
      </w:r>
    </w:p>
    <w:p w14:paraId="4F65F75E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4.5      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тогтвортой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3-аас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доошгүй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удаа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хугацаандаа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сунгагдсан</w:t>
      </w:r>
      <w:proofErr w:type="spellEnd"/>
      <w:proofErr w:type="gram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ямар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зөрчил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бүхий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дүгнэлт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байгаагүй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5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жилийн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сунгаж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15CFB3E8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4.5      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ангилал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нэмсэн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тохиолдолд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өөрчлөгдөхгүй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5C358E31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4.6      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эзэмшигч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гэрчилгээг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гээсэн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үрэгдүүлсэн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шалтгаанаар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олгуулах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гэрчилгээгээ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гээсэн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өдөр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тутмын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сонинд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зарлуулж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сонингийн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хамт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ирүүлнэ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үндэслэн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асуудал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эрхэлсэн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газрын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гишүүний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шийдвэрээр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гэрчилгээг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  </w:t>
      </w:r>
    </w:p>
    <w:p w14:paraId="0D9CCF83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4.7      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эзэмшигч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оноосон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өөрчлөгдсөн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шалтгаанаар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олгуулах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өөрчлөгдсөн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улсын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бүртгэлийн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ерөнхий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газрын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лавлагаа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гэрчилгээ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дүрмийн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хуулбар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хүсэлтийг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үндэслэн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асуудал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эрхэлсэн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захиргааны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төв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шийдвэрээр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гэрчилгээг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нөхөн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53D182AB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4.8      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эзэмшигч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13.1-д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үндэслэлээр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3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хүртэл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хугацаагаар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түдгэлзүүлж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278ECF29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4.9      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түдгэлзүүлсэн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хугацаа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дуусгавар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тохиолдолд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13.3-т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дагуу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шийдвэрлэнэ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2CAE2718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4.10   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14.1-т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үндэслэлээр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хүчингүй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болгоно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301E9D56" w14:textId="77777777" w:rsidR="00DF0F93" w:rsidRPr="00DF0F93" w:rsidRDefault="00DF0F93" w:rsidP="00DF0F93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2186A903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Тав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.</w:t>
      </w:r>
      <w:r w:rsidRPr="00DF0F9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эзэмшигчийн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үүрэг</w:t>
      </w:r>
      <w:proofErr w:type="spellEnd"/>
    </w:p>
    <w:p w14:paraId="460E977B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5.1   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эзэмшигч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зөвшөөрлөөр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олгогдсон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ангиллын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явуулна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38D616C9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5.2.     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Хэрэв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эзэмшигч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ажилчид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солигдсон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шилжилт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хөдөлгөөнийг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цахим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санд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бүртгүүлнэ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0834F357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5.3      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эзэмшигч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жилд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гүйцэтгэсэн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тайлан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нөхцөл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талаарх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жилийн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бүрээн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улиралд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багтаан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ирүүлнэ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  </w:t>
      </w:r>
    </w:p>
    <w:p w14:paraId="72680DAB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5.4      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Гүйцэтгэсэн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тайлан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нөхцөл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талаарх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мэргэжлийн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хяналтын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байгууллагатай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хамтарсан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хэсэг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хянан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үзэж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дүгнэлт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гаргаж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асуудал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эрхэлсэн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Засгийн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газрын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гишүүнд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танилцуулна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1CE15AC0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Зургаа</w:t>
      </w:r>
      <w:proofErr w:type="spellEnd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 xml:space="preserve">. </w:t>
      </w:r>
      <w:proofErr w:type="spellStart"/>
      <w:r w:rsidRPr="00DF0F9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Бусад</w:t>
      </w:r>
      <w:proofErr w:type="spellEnd"/>
    </w:p>
    <w:p w14:paraId="0C633485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6.1      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эзэмшигч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тэдгээрийн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инженер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ажилчид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хийсэн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туршлагын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Авто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замын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асуудал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эрхэлсэн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захиргааны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төв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түүнээс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олгосноор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мэргэжлийн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төрийн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бус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эрхлэн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хөтлөнө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54E291B4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6.2      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ажлыг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зураг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техникийн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зөрчин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чанаргүй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хийсэн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гэрээнд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үүргээ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биелүүлээгүй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эрх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бүхий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байгууллагын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дүгнэлтээр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тогтоодсон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дүгнэлтийг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мэдээлэлд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хавсарган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хадгална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12FC99DC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6.3      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материалыг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хуурамчаар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үйлдсэн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Зөрчлийн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бусад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холбогдох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дагуу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хариуцлага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хүлээлгэнэ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7FA73CDF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6.4     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олгоход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Улсын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Тэмдэгтийн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хураамжийн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19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дүгээр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зүйлд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заасныг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баримтлан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тэмдэгтийн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хураамж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авч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улсын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төсөвт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шилжүүлнэ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4DD740CE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 6.5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зөвшөөрөл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олгох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шаардлага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хангасан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нэгж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нь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тэмдэгтийн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хураамжийг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төлнө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55DDFA2C" w14:textId="77777777" w:rsidR="00DF0F93" w:rsidRPr="00DF0F93" w:rsidRDefault="00DF0F93" w:rsidP="00DF0F93">
      <w:pPr>
        <w:shd w:val="clear" w:color="auto" w:fill="FFFFFF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6.6     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ахуйн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ажиллагааны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тухай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хуулийн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6.3 –т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заасныг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зөрчин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бусдад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худалдах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бэлэглэх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барьцаалах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зэргээр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шилжүүлж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болно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Ийм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үйлдэл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нотлогдсон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тохиолдолд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тусгай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зөвшөөрлийг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хүчингүйд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DF0F93">
        <w:rPr>
          <w:rFonts w:ascii="Arial" w:eastAsia="Times New Roman" w:hAnsi="Arial" w:cs="Arial"/>
          <w:color w:val="333333"/>
          <w:sz w:val="18"/>
          <w:szCs w:val="18"/>
        </w:rPr>
        <w:t>тооцно</w:t>
      </w:r>
      <w:proofErr w:type="spellEnd"/>
      <w:r w:rsidRPr="00DF0F9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7350354F" w14:textId="599B5AC9" w:rsidR="00DF0F93" w:rsidRPr="00DF0F93" w:rsidRDefault="00DF0F93" w:rsidP="007618B8">
      <w:pPr>
        <w:pStyle w:val="NormalWeb"/>
      </w:pPr>
    </w:p>
    <w:sectPr w:rsidR="00DF0F93" w:rsidRPr="00DF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8A9"/>
    <w:multiLevelType w:val="hybridMultilevel"/>
    <w:tmpl w:val="6A7A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C1"/>
    <w:rsid w:val="000169A5"/>
    <w:rsid w:val="001F566D"/>
    <w:rsid w:val="00271108"/>
    <w:rsid w:val="002C6CA2"/>
    <w:rsid w:val="00375081"/>
    <w:rsid w:val="00733A5A"/>
    <w:rsid w:val="007618B8"/>
    <w:rsid w:val="009059C1"/>
    <w:rsid w:val="00974C3C"/>
    <w:rsid w:val="00B23DCC"/>
    <w:rsid w:val="00D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A477D"/>
  <w15:chartTrackingRefBased/>
  <w15:docId w15:val="{033D54D4-9C27-475A-A761-1C913F4F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rsid w:val="00DF0F9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F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F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6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4C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F0F93"/>
    <w:rPr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F0F9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F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F93"/>
    <w:rPr>
      <w:rFonts w:asciiTheme="majorHAnsi" w:eastAsiaTheme="majorEastAsia" w:hAnsiTheme="majorHAnsi" w:cstheme="majorBidi"/>
      <w:color w:val="2F5496" w:themeColor="accent1" w:themeShade="BF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1765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МАЛЫН ТОО ТОЛГОЙН АЛБАН ТАТВАРЫН ХЭМЖЭЭ</dc:title>
  <dc:subject/>
  <dc:creator>DELL</dc:creator>
  <cp:keywords/>
  <dc:description/>
  <cp:lastModifiedBy>Sainsanaa Ganzorig</cp:lastModifiedBy>
  <cp:revision>2</cp:revision>
  <dcterms:created xsi:type="dcterms:W3CDTF">2021-11-10T04:55:00Z</dcterms:created>
  <dcterms:modified xsi:type="dcterms:W3CDTF">2021-11-10T04:55:00Z</dcterms:modified>
</cp:coreProperties>
</file>